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F1A" w:rsidRPr="00787F1A" w:rsidRDefault="00787F1A" w:rsidP="00787F1A">
      <w:pPr>
        <w:rPr>
          <w:rFonts w:cs="Times New Roman"/>
          <w:szCs w:val="24"/>
        </w:rPr>
      </w:pPr>
      <w:r w:rsidRPr="00787F1A">
        <w:rPr>
          <w:rFonts w:cs="Times New Roman"/>
          <w:szCs w:val="24"/>
        </w:rPr>
        <w:t>Full Name</w:t>
      </w:r>
    </w:p>
    <w:p w:rsidR="00787F1A" w:rsidRPr="00787F1A" w:rsidRDefault="00787F1A" w:rsidP="00787F1A">
      <w:pPr>
        <w:rPr>
          <w:rFonts w:cs="Times New Roman"/>
          <w:szCs w:val="24"/>
        </w:rPr>
      </w:pPr>
      <w:r w:rsidRPr="00787F1A">
        <w:rPr>
          <w:rFonts w:cs="Times New Roman"/>
          <w:szCs w:val="24"/>
        </w:rPr>
        <w:t>Professor Name</w:t>
      </w:r>
    </w:p>
    <w:p w:rsidR="00787F1A" w:rsidRPr="00787F1A" w:rsidRDefault="00787F1A" w:rsidP="00787F1A">
      <w:pPr>
        <w:rPr>
          <w:rFonts w:cs="Times New Roman"/>
          <w:szCs w:val="24"/>
        </w:rPr>
      </w:pPr>
      <w:r w:rsidRPr="00787F1A">
        <w:rPr>
          <w:rFonts w:cs="Times New Roman"/>
          <w:szCs w:val="24"/>
        </w:rPr>
        <w:t>Eng. Course Title and Section Number</w:t>
      </w:r>
    </w:p>
    <w:p w:rsidR="00787F1A" w:rsidRPr="00787F1A" w:rsidRDefault="00787F1A" w:rsidP="00787F1A">
      <w:pPr>
        <w:rPr>
          <w:rFonts w:cs="Times New Roman"/>
          <w:szCs w:val="24"/>
        </w:rPr>
      </w:pPr>
      <w:r w:rsidRPr="00787F1A">
        <w:rPr>
          <w:rFonts w:cs="Times New Roman"/>
          <w:szCs w:val="24"/>
        </w:rPr>
        <w:t>Date</w:t>
      </w:r>
    </w:p>
    <w:p w:rsidR="00787F1A" w:rsidRPr="00787F1A" w:rsidRDefault="00787F1A" w:rsidP="00787F1A">
      <w:pPr>
        <w:jc w:val="center"/>
        <w:rPr>
          <w:rFonts w:cs="Times New Roman"/>
          <w:szCs w:val="24"/>
        </w:rPr>
      </w:pPr>
      <w:r w:rsidRPr="00787F1A">
        <w:rPr>
          <w:rFonts w:cs="Times New Roman"/>
          <w:szCs w:val="24"/>
        </w:rPr>
        <w:t>Role of Discord in the Trojan War</w:t>
      </w:r>
    </w:p>
    <w:p w:rsidR="00787F1A" w:rsidRPr="00787F1A" w:rsidRDefault="00787F1A" w:rsidP="00787F1A">
      <w:pPr>
        <w:ind w:firstLine="720"/>
        <w:rPr>
          <w:rFonts w:cs="Times New Roman"/>
          <w:szCs w:val="24"/>
        </w:rPr>
      </w:pPr>
      <w:r w:rsidRPr="00787F1A">
        <w:rPr>
          <w:rFonts w:cs="Times New Roman"/>
          <w:szCs w:val="24"/>
        </w:rPr>
        <w:t>Numerous instances of strife and discord earmark the Trojan War; which shaped the formation of the war, and the war itself. The factions of the Greeks, gods, and the Trojans demonstrate discord all through. The analysis of the role of strife and its effects on the Trojan War is vast and covered in this paper.</w:t>
      </w:r>
    </w:p>
    <w:p w:rsidR="00787F1A" w:rsidRPr="00787F1A" w:rsidRDefault="00787F1A" w:rsidP="00787F1A">
      <w:pPr>
        <w:ind w:firstLine="720"/>
        <w:rPr>
          <w:rFonts w:cs="Times New Roman"/>
          <w:szCs w:val="24"/>
        </w:rPr>
      </w:pPr>
      <w:r w:rsidRPr="00787F1A">
        <w:rPr>
          <w:rFonts w:cs="Times New Roman"/>
          <w:szCs w:val="24"/>
        </w:rPr>
        <w:t xml:space="preserve">During the Trojan War, the Greek army split into two after its king, Agamemnon, and its hero, Achilles, disagreed </w:t>
      </w:r>
      <w:proofErr w:type="spellStart"/>
      <w:r w:rsidRPr="00787F1A">
        <w:rPr>
          <w:rFonts w:cs="Times New Roman"/>
          <w:szCs w:val="24"/>
        </w:rPr>
        <w:t>Breisis</w:t>
      </w:r>
      <w:proofErr w:type="spellEnd"/>
      <w:r w:rsidRPr="00787F1A">
        <w:rPr>
          <w:rFonts w:cs="Times New Roman"/>
          <w:szCs w:val="24"/>
        </w:rPr>
        <w:t xml:space="preserve">, a trophy of war that Achilles prices for himself after a successful siege. The king, Agamemnon, also has won herself a girl from the same onslaught. The girl taken by the king is the daughter of </w:t>
      </w:r>
      <w:proofErr w:type="spellStart"/>
      <w:r w:rsidRPr="00787F1A">
        <w:rPr>
          <w:rFonts w:cs="Times New Roman"/>
          <w:szCs w:val="24"/>
        </w:rPr>
        <w:t>Chryses</w:t>
      </w:r>
      <w:proofErr w:type="spellEnd"/>
      <w:r w:rsidRPr="00787F1A">
        <w:rPr>
          <w:rFonts w:cs="Times New Roman"/>
          <w:szCs w:val="24"/>
        </w:rPr>
        <w:t xml:space="preserve">, who is a Trojan priest of Apollo. </w:t>
      </w:r>
      <w:proofErr w:type="spellStart"/>
      <w:r w:rsidRPr="00787F1A">
        <w:rPr>
          <w:rFonts w:cs="Times New Roman"/>
          <w:szCs w:val="24"/>
        </w:rPr>
        <w:t>Chryses</w:t>
      </w:r>
      <w:proofErr w:type="spellEnd"/>
      <w:r w:rsidRPr="00787F1A">
        <w:rPr>
          <w:rFonts w:cs="Times New Roman"/>
          <w:szCs w:val="24"/>
        </w:rPr>
        <w:t xml:space="preserve"> pleads with the king for the return of his daughter, to which the latter does not yield. The priest then prays to Apollo who sends a plague to the Greek army. Agamemnon releases his priced spoil of war to the priest after realization what it would cost to end the epidemic. Agamemnon is still angry and hurt after he sacrificed his daughter before the battle to guarantee victory, and his ego bruises after returning the daughter of the priest. The king demands and later steals Achilles' spoils of war, </w:t>
      </w:r>
      <w:proofErr w:type="spellStart"/>
      <w:r w:rsidRPr="00787F1A">
        <w:rPr>
          <w:rFonts w:cs="Times New Roman"/>
          <w:szCs w:val="24"/>
        </w:rPr>
        <w:t>Breisis</w:t>
      </w:r>
      <w:proofErr w:type="spellEnd"/>
      <w:r w:rsidRPr="00787F1A">
        <w:rPr>
          <w:rFonts w:cs="Times New Roman"/>
          <w:szCs w:val="24"/>
        </w:rPr>
        <w:t>. As a result, Achilles withdraws from battle efforts and the Greek force is split into two, and he even rejects pleas to join the army by ambassadors sent by the king.</w:t>
      </w:r>
    </w:p>
    <w:p w:rsidR="00787F1A" w:rsidRPr="00787F1A" w:rsidRDefault="00787F1A" w:rsidP="00787F1A">
      <w:pPr>
        <w:ind w:firstLine="720"/>
        <w:rPr>
          <w:rFonts w:cs="Times New Roman"/>
          <w:szCs w:val="24"/>
        </w:rPr>
      </w:pPr>
      <w:r w:rsidRPr="00787F1A">
        <w:rPr>
          <w:rFonts w:cs="Times New Roman"/>
          <w:szCs w:val="24"/>
        </w:rPr>
        <w:lastRenderedPageBreak/>
        <w:t xml:space="preserve">Achilles' pride is hurt, and though having made no prior intentions about any emotional connection to </w:t>
      </w:r>
      <w:proofErr w:type="spellStart"/>
      <w:r w:rsidRPr="00787F1A">
        <w:rPr>
          <w:rFonts w:cs="Times New Roman"/>
          <w:szCs w:val="24"/>
        </w:rPr>
        <w:t>Breisis</w:t>
      </w:r>
      <w:proofErr w:type="spellEnd"/>
      <w:r w:rsidRPr="00787F1A">
        <w:rPr>
          <w:rFonts w:cs="Times New Roman"/>
          <w:szCs w:val="24"/>
        </w:rPr>
        <w:t xml:space="preserve">, he claims he loves her and therefore, Agamemnon is in violation of the code of war Adios. Achilles strengthens his statement by claiming that his withdrawal from the fight is an attempt to gain his pride and prevent further victimization of the Greeks by the king since he is the commander of the armed forces. He accuses the king of being a coward for not pleading him face to face to get to war and opting to send his ambassadors. Despite advice from Nestor, both heroes refuse to come to an accord about reconciling amid the fighting. Achilles filled with rage and love is adamant about withdrawing from the fight, which poses a considerable risk to the Greek army since he is their most skilled militia. Furthermore, his battalion only recognizes his command and do not move into battle until he issues the authority to do so. Odysseus, a trusted ambassador by the king, tries to reason with Achilles in vain and tries to make the two pride men settle their differences in vain. </w:t>
      </w:r>
      <w:proofErr w:type="gramStart"/>
      <w:r w:rsidRPr="00787F1A">
        <w:rPr>
          <w:rFonts w:cs="Times New Roman"/>
          <w:szCs w:val="24"/>
        </w:rPr>
        <w:t xml:space="preserve">The strife between Agamemnon and </w:t>
      </w:r>
      <w:proofErr w:type="spellStart"/>
      <w:r w:rsidRPr="00787F1A">
        <w:rPr>
          <w:rFonts w:cs="Times New Roman"/>
          <w:szCs w:val="24"/>
        </w:rPr>
        <w:t>Achillesresolves</w:t>
      </w:r>
      <w:proofErr w:type="spellEnd"/>
      <w:r w:rsidRPr="00787F1A">
        <w:rPr>
          <w:rFonts w:cs="Times New Roman"/>
          <w:szCs w:val="24"/>
        </w:rPr>
        <w:t xml:space="preserve"> when the latter loses one of his men after a surging attack from the Trojan army.</w:t>
      </w:r>
      <w:proofErr w:type="gramEnd"/>
      <w:r w:rsidRPr="00787F1A">
        <w:rPr>
          <w:rFonts w:cs="Times New Roman"/>
          <w:szCs w:val="24"/>
        </w:rPr>
        <w:t xml:space="preserve"> Achilles then resolves to join the war in revenge, but with the discord still unresolved. </w:t>
      </w:r>
    </w:p>
    <w:p w:rsidR="00787F1A" w:rsidRPr="00787F1A" w:rsidRDefault="00787F1A" w:rsidP="00787F1A">
      <w:pPr>
        <w:ind w:firstLine="720"/>
        <w:rPr>
          <w:rFonts w:cs="Times New Roman"/>
          <w:szCs w:val="24"/>
        </w:rPr>
      </w:pPr>
      <w:r w:rsidRPr="00787F1A">
        <w:rPr>
          <w:rFonts w:cs="Times New Roman"/>
          <w:szCs w:val="24"/>
        </w:rPr>
        <w:t xml:space="preserve">Achilles also had sworn of war before the onset of the Trojan War. Before Agamemnon called him to fight, the skilled fighter had vowed never to participate in combat again. His response to going the war was shaped by a treaty that King Agamemnon had with Achilles, Odysseus, and other famous ambassadors to protect the dignity of their nation. Achilles, being an honorable man, respected the treaty he made and ventured into battle but the vow to himself made him a man at an impasse. Achilles tries to evade the war by pretending to be a woman. The king who valued the warrior and his battalion do not heed to defeat and employs the wisdom of Odysseus in recruiting Achilles and seeing beyond his ruse. Strife was also visible for Odysseus. The trusted ambassador was unwilling to venture into the war, especially after the priest of </w:t>
      </w:r>
      <w:r w:rsidRPr="00787F1A">
        <w:rPr>
          <w:rFonts w:cs="Times New Roman"/>
          <w:szCs w:val="24"/>
        </w:rPr>
        <w:lastRenderedPageBreak/>
        <w:t xml:space="preserve">Apollo prophesies that the war will last for ten years. When he was called to fight by the king, Odysseus, with the aid of his wife, feigned madness to deter the king from recruiting him. Agamemnon also sees through this ruse and as a result, Odysseus and his battalion are contracted to keep their pledge to war. Odysseus is internal discord towards the end of the war. The last year he misses home and does not try to stop a plot to bring the famous warrior Achilles back to the fold. Agamemnon plots to kill the most favorite of Achilles men to coerce the fighter to rejoin the fight. Though Odysseus does not agree with such a move, he does not inform of Achilles that death is as a result of betrayal. Achilles trusts in the word of Odysseus as an honorable man and joins </w:t>
      </w:r>
      <w:proofErr w:type="spellStart"/>
      <w:proofErr w:type="gramStart"/>
      <w:r w:rsidRPr="00787F1A">
        <w:rPr>
          <w:rFonts w:cs="Times New Roman"/>
          <w:szCs w:val="24"/>
        </w:rPr>
        <w:t>th</w:t>
      </w:r>
      <w:proofErr w:type="spellEnd"/>
      <w:proofErr w:type="gramEnd"/>
      <w:r w:rsidRPr="00787F1A">
        <w:rPr>
          <w:rFonts w:cs="Times New Roman"/>
          <w:szCs w:val="24"/>
        </w:rPr>
        <w:tab/>
      </w:r>
      <w:r w:rsidRPr="00787F1A">
        <w:rPr>
          <w:rFonts w:cs="Times New Roman"/>
          <w:szCs w:val="24"/>
        </w:rPr>
        <w:t xml:space="preserve">e war. </w:t>
      </w:r>
    </w:p>
    <w:p w:rsidR="00787F1A" w:rsidRPr="00787F1A" w:rsidRDefault="00787F1A" w:rsidP="00787F1A">
      <w:pPr>
        <w:ind w:firstLine="720"/>
        <w:rPr>
          <w:rFonts w:cs="Times New Roman"/>
          <w:szCs w:val="24"/>
        </w:rPr>
      </w:pPr>
      <w:r w:rsidRPr="00787F1A">
        <w:rPr>
          <w:rFonts w:cs="Times New Roman"/>
          <w:szCs w:val="24"/>
        </w:rPr>
        <w:t>Strife plays a significant role in the Trojan War between the Greeks, the Trojans, and the Gods. Eris, the goddess of strife and discord, retaliates from not being invited to a wedding party between Peleus and Thetis, and she felt left out. Eris and Zeus also ally with the growing population and seek a plot of a great war to this effect. Eris forms a golden apple indicated to the fairest and throws it into the room. Three goddesses are who believed themselves to be the fairest reached for the apple; Athena, Hera, and Aphrodite. Hera who was the wife of Zeus, Athena and Aphrodite, the goddess of beauty could not agree on the right beholder of the apple and strife ensued. When Zeus was called to resolve the dispute, he cleverly averted the responsibility and delegated it to Prince Priam of the Trojans. Zeus conducted this mediation by involving Hermes who saw to a fair assessment of the burden of the Trojan prince.</w:t>
      </w:r>
    </w:p>
    <w:p w:rsidR="00787F1A" w:rsidRPr="00787F1A" w:rsidRDefault="00787F1A" w:rsidP="00787F1A">
      <w:pPr>
        <w:ind w:firstLine="720"/>
        <w:rPr>
          <w:rFonts w:cs="Times New Roman"/>
          <w:szCs w:val="24"/>
        </w:rPr>
      </w:pPr>
      <w:r w:rsidRPr="00787F1A">
        <w:rPr>
          <w:rFonts w:cs="Times New Roman"/>
          <w:szCs w:val="24"/>
        </w:rPr>
        <w:t xml:space="preserve">Every goddess made promises to the prince with the hopes of winning the golden apple. Hera promised a broader nation to rule over the whole of Asia, and Athena pledged to the young prince victory and tactic in war. Aphrodite won the contest after promising that he would fall in over with the most beautiful woman in all the lands. The discord between the goddesses transfers </w:t>
      </w:r>
      <w:r w:rsidRPr="00787F1A">
        <w:rPr>
          <w:rFonts w:cs="Times New Roman"/>
          <w:szCs w:val="24"/>
        </w:rPr>
        <w:lastRenderedPageBreak/>
        <w:t xml:space="preserve">to the human factions of the Greeks against the Trojans. Athena and Hera form an enmity with the prince and the city of Troy. Part of their quarrel with Prince Priam was the offer Aphrodite gave. The problem arose when the most beautiful woman, Helen of Sparta, was married to Menelaus, brother to Agamemnon. Prince Priam opts to flee with the Queen, which leads Menelaus to call on his brother as they wage war on the Trojans. The discord between the goddesses manifests itself when Athena and Hera support the Greeks in this war endeavor as Aphrodite remains to favor the Trojans, which is evident when Priam faces Menelaus. Athena gives Odysseus the idea to build the Trojan horse. </w:t>
      </w:r>
    </w:p>
    <w:p w:rsidR="00787F1A" w:rsidRPr="00787F1A" w:rsidRDefault="00787F1A" w:rsidP="00787F1A">
      <w:pPr>
        <w:ind w:firstLine="720"/>
        <w:rPr>
          <w:rFonts w:cs="Times New Roman"/>
          <w:szCs w:val="24"/>
        </w:rPr>
      </w:pPr>
      <w:r w:rsidRPr="00787F1A">
        <w:rPr>
          <w:rFonts w:cs="Times New Roman"/>
          <w:szCs w:val="24"/>
        </w:rPr>
        <w:t xml:space="preserve">The Trojans, on the other hand, were not free from strife. The king of Troy sends his sons, Prince Priam, to Sparta as a delegation for an alliance between the two sides. The Prince returns with the queen of Sparta by his hand, claiming she has been promised to him by Aphrodite. Hector, prince Priam's older brother, does not side with the younger prince at first. Even though the king of Troy understands the decision by his young son and opts to side by him, not the entire court agrees with him. </w:t>
      </w:r>
    </w:p>
    <w:p w:rsidR="00787F1A" w:rsidRPr="00787F1A" w:rsidRDefault="00787F1A" w:rsidP="00787F1A">
      <w:pPr>
        <w:ind w:firstLine="720"/>
        <w:rPr>
          <w:rFonts w:cs="Times New Roman"/>
          <w:szCs w:val="24"/>
        </w:rPr>
      </w:pPr>
      <w:r w:rsidRPr="00787F1A">
        <w:rPr>
          <w:rFonts w:cs="Times New Roman"/>
          <w:szCs w:val="24"/>
        </w:rPr>
        <w:t xml:space="preserve">There is general tension in the city of Troy as the Greeks come to their shores to wage war. Antenor, a counselor to the king also opposes war over Helen of Sparta and continually makes his opinion known. Priam adopts several measures to gain the confidence of the citizens of Troy and his brother, Hector. He acclaims that the war is his fault, and recognizes the defense the high walls of Troy offer. Even so, the prince is in constant opposition by the counselor Antenor to return Helen to the Greeks and end the war. The two sides then agree the two men involved with Helen should fight to the death to win favor for the beauty. Menelaus wins the battle with ease, and Aphrodite intervenes before the prince dies. Hector is furious with his brother since Priam seems not to adhere to the laws and statutes of honor that guide combatants </w:t>
      </w:r>
      <w:r w:rsidRPr="00787F1A">
        <w:rPr>
          <w:rFonts w:cs="Times New Roman"/>
          <w:szCs w:val="24"/>
        </w:rPr>
        <w:lastRenderedPageBreak/>
        <w:t xml:space="preserve">in war. This instance only increases their strife. The young prince cowardice shows in his choice of weapon, a bow, and arrow. </w:t>
      </w:r>
    </w:p>
    <w:p w:rsidR="008F3F6B" w:rsidRPr="00787F1A" w:rsidRDefault="00787F1A" w:rsidP="00787F1A">
      <w:pPr>
        <w:ind w:firstLine="720"/>
        <w:rPr>
          <w:rFonts w:cs="Times New Roman"/>
          <w:szCs w:val="24"/>
        </w:rPr>
      </w:pPr>
      <w:r w:rsidRPr="00787F1A">
        <w:rPr>
          <w:rFonts w:cs="Times New Roman"/>
          <w:szCs w:val="24"/>
        </w:rPr>
        <w:t>The city of Troy also fell resulting from this strife. Odysseus devised a plot to clear the shores of the seas and leave a giant Trojan horse by the beach. The Trojans arrived at the beach to find the place clean and vacant. There is conflicting advice from the counselors of Troy regarding bringing the giant wooden horse into the walls of the city, a position the Greek warriors had found impenetrable. The Trojans take the horse into the city as a sign of victory against the Greeks considering it as a form of sacrifice. They indulge the night in celebration without noticing that the wooden ornament is filled with Greek warriors. Antenor feels the King Priam does not opt for his counsel and listens to Paris, the prince, and opts to open the gates at night for the Greeks on the condition that his house would be spared. The Prince Paris is in constant strife with his sister Cassandra. The latter, was given abilities to foresee the future by Apollo, saw the demise of the city of Troy and could tell that her brother would initiate it.</w:t>
      </w:r>
    </w:p>
    <w:p w:rsidR="00787F1A" w:rsidRPr="00787F1A" w:rsidRDefault="00787F1A">
      <w:pPr>
        <w:rPr>
          <w:rFonts w:cs="Times New Roman"/>
          <w:szCs w:val="24"/>
        </w:rPr>
      </w:pPr>
      <w:r w:rsidRPr="00787F1A">
        <w:rPr>
          <w:rFonts w:cs="Times New Roman"/>
          <w:szCs w:val="24"/>
        </w:rPr>
        <w:br w:type="page"/>
      </w:r>
    </w:p>
    <w:p w:rsidR="00787F1A" w:rsidRPr="00787F1A" w:rsidRDefault="00787F1A" w:rsidP="00787F1A">
      <w:pPr>
        <w:jc w:val="center"/>
        <w:rPr>
          <w:rFonts w:cs="Times New Roman"/>
          <w:b/>
          <w:szCs w:val="24"/>
        </w:rPr>
      </w:pPr>
      <w:r w:rsidRPr="00787F1A">
        <w:rPr>
          <w:rFonts w:cs="Times New Roman"/>
          <w:b/>
          <w:szCs w:val="24"/>
        </w:rPr>
        <w:lastRenderedPageBreak/>
        <w:t>Works Cited</w:t>
      </w:r>
    </w:p>
    <w:p w:rsidR="00787F1A" w:rsidRPr="00787F1A" w:rsidRDefault="00787F1A" w:rsidP="00787F1A">
      <w:pPr>
        <w:ind w:left="720" w:hanging="720"/>
        <w:rPr>
          <w:rFonts w:cs="Times New Roman"/>
          <w:szCs w:val="24"/>
        </w:rPr>
      </w:pPr>
      <w:proofErr w:type="spellStart"/>
      <w:r w:rsidRPr="00787F1A">
        <w:rPr>
          <w:rFonts w:cs="Times New Roman"/>
          <w:szCs w:val="24"/>
          <w:shd w:val="clear" w:color="auto" w:fill="FFFFFF"/>
        </w:rPr>
        <w:t>Nagler</w:t>
      </w:r>
      <w:proofErr w:type="spellEnd"/>
      <w:r w:rsidRPr="00787F1A">
        <w:rPr>
          <w:rFonts w:cs="Times New Roman"/>
          <w:szCs w:val="24"/>
          <w:shd w:val="clear" w:color="auto" w:fill="FFFFFF"/>
        </w:rPr>
        <w:t xml:space="preserve">, Michael N. “Toward </w:t>
      </w:r>
      <w:proofErr w:type="gramStart"/>
      <w:r w:rsidRPr="00787F1A">
        <w:rPr>
          <w:rFonts w:cs="Times New Roman"/>
          <w:szCs w:val="24"/>
          <w:shd w:val="clear" w:color="auto" w:fill="FFFFFF"/>
        </w:rPr>
        <w:t>a Semantics</w:t>
      </w:r>
      <w:proofErr w:type="gramEnd"/>
      <w:r w:rsidRPr="00787F1A">
        <w:rPr>
          <w:rFonts w:cs="Times New Roman"/>
          <w:szCs w:val="24"/>
          <w:shd w:val="clear" w:color="auto" w:fill="FFFFFF"/>
        </w:rPr>
        <w:t xml:space="preserve"> of Ancient Conflict: Eris in the ‘Iliad.’” </w:t>
      </w:r>
      <w:r w:rsidRPr="00787F1A">
        <w:rPr>
          <w:rFonts w:cs="Times New Roman"/>
          <w:i/>
          <w:iCs/>
          <w:szCs w:val="24"/>
          <w:shd w:val="clear" w:color="auto" w:fill="FFFFFF"/>
        </w:rPr>
        <w:t>The Classical World</w:t>
      </w:r>
      <w:r w:rsidRPr="00787F1A">
        <w:rPr>
          <w:rFonts w:cs="Times New Roman"/>
          <w:szCs w:val="24"/>
          <w:shd w:val="clear" w:color="auto" w:fill="FFFFFF"/>
        </w:rPr>
        <w:t>, vol. 82, no. 2, 1988, pp. 81–90. </w:t>
      </w:r>
      <w:proofErr w:type="gramStart"/>
      <w:r w:rsidRPr="00787F1A">
        <w:rPr>
          <w:rFonts w:cs="Times New Roman"/>
          <w:i/>
          <w:iCs/>
          <w:szCs w:val="24"/>
          <w:shd w:val="clear" w:color="auto" w:fill="FFFFFF"/>
        </w:rPr>
        <w:t>JSTOR</w:t>
      </w:r>
      <w:r w:rsidRPr="00787F1A">
        <w:rPr>
          <w:rFonts w:cs="Times New Roman"/>
          <w:szCs w:val="24"/>
          <w:shd w:val="clear" w:color="auto" w:fill="FFFFFF"/>
        </w:rPr>
        <w:t>, www.jstor.org/stable/4350302.</w:t>
      </w:r>
      <w:proofErr w:type="gramEnd"/>
    </w:p>
    <w:p w:rsidR="00787F1A" w:rsidRPr="00787F1A" w:rsidRDefault="00787F1A" w:rsidP="00787F1A">
      <w:pPr>
        <w:ind w:left="720" w:hanging="720"/>
        <w:rPr>
          <w:rFonts w:cs="Times New Roman"/>
          <w:szCs w:val="24"/>
          <w:shd w:val="clear" w:color="auto" w:fill="FFFFFF"/>
        </w:rPr>
      </w:pPr>
      <w:bookmarkStart w:id="0" w:name="_GoBack"/>
      <w:bookmarkEnd w:id="0"/>
      <w:proofErr w:type="gramStart"/>
      <w:r w:rsidRPr="00787F1A">
        <w:rPr>
          <w:rFonts w:cs="Times New Roman"/>
          <w:szCs w:val="24"/>
          <w:shd w:val="clear" w:color="auto" w:fill="FFFFFF"/>
        </w:rPr>
        <w:t>Rudd, Niall.</w:t>
      </w:r>
      <w:proofErr w:type="gramEnd"/>
      <w:r w:rsidRPr="00787F1A">
        <w:rPr>
          <w:rFonts w:cs="Times New Roman"/>
          <w:szCs w:val="24"/>
          <w:shd w:val="clear" w:color="auto" w:fill="FFFFFF"/>
        </w:rPr>
        <w:t xml:space="preserve"> </w:t>
      </w:r>
      <w:proofErr w:type="gramStart"/>
      <w:r w:rsidRPr="00787F1A">
        <w:rPr>
          <w:rFonts w:cs="Times New Roman"/>
          <w:szCs w:val="24"/>
          <w:shd w:val="clear" w:color="auto" w:fill="FFFFFF"/>
        </w:rPr>
        <w:t>“Achilles or Agamemnon?</w:t>
      </w:r>
      <w:proofErr w:type="gramEnd"/>
      <w:r w:rsidRPr="00787F1A">
        <w:rPr>
          <w:rFonts w:cs="Times New Roman"/>
          <w:szCs w:val="24"/>
          <w:shd w:val="clear" w:color="auto" w:fill="FFFFFF"/>
        </w:rPr>
        <w:t xml:space="preserve"> </w:t>
      </w:r>
      <w:proofErr w:type="gramStart"/>
      <w:r w:rsidRPr="00787F1A">
        <w:rPr>
          <w:rFonts w:cs="Times New Roman"/>
          <w:szCs w:val="24"/>
          <w:shd w:val="clear" w:color="auto" w:fill="FFFFFF"/>
        </w:rPr>
        <w:t>A Note on Horace Epistles 1.</w:t>
      </w:r>
      <w:proofErr w:type="gramEnd"/>
      <w:r w:rsidRPr="00787F1A">
        <w:rPr>
          <w:rFonts w:cs="Times New Roman"/>
          <w:szCs w:val="24"/>
          <w:shd w:val="clear" w:color="auto" w:fill="FFFFFF"/>
        </w:rPr>
        <w:t xml:space="preserve"> </w:t>
      </w:r>
      <w:proofErr w:type="gramStart"/>
      <w:r w:rsidRPr="00787F1A">
        <w:rPr>
          <w:rFonts w:cs="Times New Roman"/>
          <w:szCs w:val="24"/>
          <w:shd w:val="clear" w:color="auto" w:fill="FFFFFF"/>
        </w:rPr>
        <w:t>2. 13.”</w:t>
      </w:r>
      <w:proofErr w:type="gramEnd"/>
      <w:r w:rsidRPr="00787F1A">
        <w:rPr>
          <w:rFonts w:cs="Times New Roman"/>
          <w:szCs w:val="24"/>
          <w:shd w:val="clear" w:color="auto" w:fill="FFFFFF"/>
        </w:rPr>
        <w:t> </w:t>
      </w:r>
      <w:r w:rsidRPr="00787F1A">
        <w:rPr>
          <w:rFonts w:cs="Times New Roman"/>
          <w:i/>
          <w:iCs/>
          <w:szCs w:val="24"/>
          <w:shd w:val="clear" w:color="auto" w:fill="FFFFFF"/>
        </w:rPr>
        <w:t>Classical Philology</w:t>
      </w:r>
      <w:r w:rsidRPr="00787F1A">
        <w:rPr>
          <w:rFonts w:cs="Times New Roman"/>
          <w:szCs w:val="24"/>
          <w:shd w:val="clear" w:color="auto" w:fill="FFFFFF"/>
        </w:rPr>
        <w:t>, vol. 75, no. 1, 1980, pp. 68–69. </w:t>
      </w:r>
      <w:proofErr w:type="gramStart"/>
      <w:r w:rsidRPr="00787F1A">
        <w:rPr>
          <w:rFonts w:cs="Times New Roman"/>
          <w:i/>
          <w:iCs/>
          <w:szCs w:val="24"/>
          <w:shd w:val="clear" w:color="auto" w:fill="FFFFFF"/>
        </w:rPr>
        <w:t>JSTOR</w:t>
      </w:r>
      <w:r w:rsidRPr="00787F1A">
        <w:rPr>
          <w:rFonts w:cs="Times New Roman"/>
          <w:szCs w:val="24"/>
          <w:shd w:val="clear" w:color="auto" w:fill="FFFFFF"/>
        </w:rPr>
        <w:t xml:space="preserve">, </w:t>
      </w:r>
      <w:hyperlink r:id="rId7" w:history="1">
        <w:r w:rsidRPr="00787F1A">
          <w:rPr>
            <w:rStyle w:val="Hyperlink"/>
            <w:rFonts w:cs="Times New Roman"/>
            <w:color w:val="auto"/>
            <w:szCs w:val="24"/>
            <w:shd w:val="clear" w:color="auto" w:fill="FFFFFF"/>
          </w:rPr>
          <w:t>www.jstor.org/stable/267827</w:t>
        </w:r>
      </w:hyperlink>
      <w:r w:rsidRPr="00787F1A">
        <w:rPr>
          <w:rFonts w:cs="Times New Roman"/>
          <w:szCs w:val="24"/>
          <w:shd w:val="clear" w:color="auto" w:fill="FFFFFF"/>
        </w:rPr>
        <w:t>.</w:t>
      </w:r>
      <w:proofErr w:type="gramEnd"/>
    </w:p>
    <w:p w:rsidR="00787F1A" w:rsidRPr="00787F1A" w:rsidRDefault="00787F1A" w:rsidP="00787F1A">
      <w:pPr>
        <w:ind w:left="720" w:hanging="720"/>
        <w:rPr>
          <w:rFonts w:cs="Times New Roman"/>
          <w:szCs w:val="24"/>
          <w:shd w:val="clear" w:color="auto" w:fill="FFFFFF"/>
        </w:rPr>
      </w:pPr>
      <w:proofErr w:type="spellStart"/>
      <w:r w:rsidRPr="00787F1A">
        <w:rPr>
          <w:rFonts w:cs="Times New Roman"/>
          <w:szCs w:val="24"/>
          <w:shd w:val="clear" w:color="auto" w:fill="FFFFFF"/>
        </w:rPr>
        <w:t>Scodel</w:t>
      </w:r>
      <w:proofErr w:type="spellEnd"/>
      <w:r w:rsidRPr="00787F1A">
        <w:rPr>
          <w:rFonts w:cs="Times New Roman"/>
          <w:szCs w:val="24"/>
          <w:shd w:val="clear" w:color="auto" w:fill="FFFFFF"/>
        </w:rPr>
        <w:t xml:space="preserve">, Ruth. </w:t>
      </w:r>
      <w:proofErr w:type="gramStart"/>
      <w:r w:rsidRPr="00787F1A">
        <w:rPr>
          <w:rFonts w:cs="Times New Roman"/>
          <w:szCs w:val="24"/>
          <w:shd w:val="clear" w:color="auto" w:fill="FFFFFF"/>
        </w:rPr>
        <w:t xml:space="preserve">“‘Iliad’ 9.372-73 and </w:t>
      </w:r>
      <w:proofErr w:type="spellStart"/>
      <w:r w:rsidRPr="00787F1A">
        <w:rPr>
          <w:rFonts w:cs="Times New Roman"/>
          <w:szCs w:val="24"/>
          <w:shd w:val="clear" w:color="auto" w:fill="FFFFFF"/>
        </w:rPr>
        <w:t>Αὐτὸϛ</w:t>
      </w:r>
      <w:proofErr w:type="spellEnd"/>
      <w:r w:rsidRPr="00787F1A">
        <w:rPr>
          <w:rFonts w:cs="Times New Roman"/>
          <w:szCs w:val="24"/>
          <w:shd w:val="clear" w:color="auto" w:fill="FFFFFF"/>
        </w:rPr>
        <w:t xml:space="preserve"> </w:t>
      </w:r>
      <w:proofErr w:type="spellStart"/>
      <w:r w:rsidRPr="00787F1A">
        <w:rPr>
          <w:rFonts w:cs="Times New Roman"/>
          <w:szCs w:val="24"/>
          <w:shd w:val="clear" w:color="auto" w:fill="FFFFFF"/>
        </w:rPr>
        <w:t>ἈΠοὐρ</w:t>
      </w:r>
      <w:proofErr w:type="spellEnd"/>
      <w:r w:rsidRPr="00787F1A">
        <w:rPr>
          <w:rFonts w:cs="Times New Roman"/>
          <w:szCs w:val="24"/>
          <w:shd w:val="clear" w:color="auto" w:fill="FFFFFF"/>
        </w:rPr>
        <w:t>αϛ.”</w:t>
      </w:r>
      <w:proofErr w:type="gramEnd"/>
      <w:r w:rsidRPr="00787F1A">
        <w:rPr>
          <w:rFonts w:cs="Times New Roman"/>
          <w:szCs w:val="24"/>
          <w:shd w:val="clear" w:color="auto" w:fill="FFFFFF"/>
        </w:rPr>
        <w:t> </w:t>
      </w:r>
      <w:r w:rsidRPr="00787F1A">
        <w:rPr>
          <w:rFonts w:cs="Times New Roman"/>
          <w:i/>
          <w:iCs/>
          <w:szCs w:val="24"/>
          <w:shd w:val="clear" w:color="auto" w:fill="FFFFFF"/>
        </w:rPr>
        <w:t>The Classical Journal</w:t>
      </w:r>
      <w:r w:rsidRPr="00787F1A">
        <w:rPr>
          <w:rFonts w:cs="Times New Roman"/>
          <w:szCs w:val="24"/>
          <w:shd w:val="clear" w:color="auto" w:fill="FFFFFF"/>
        </w:rPr>
        <w:t>, vol. 98, no. 3, 2003, pp. 275–279. </w:t>
      </w:r>
      <w:proofErr w:type="gramStart"/>
      <w:r w:rsidRPr="00787F1A">
        <w:rPr>
          <w:rFonts w:cs="Times New Roman"/>
          <w:i/>
          <w:iCs/>
          <w:szCs w:val="24"/>
          <w:shd w:val="clear" w:color="auto" w:fill="FFFFFF"/>
        </w:rPr>
        <w:t>JSTOR</w:t>
      </w:r>
      <w:r w:rsidRPr="00787F1A">
        <w:rPr>
          <w:rFonts w:cs="Times New Roman"/>
          <w:szCs w:val="24"/>
          <w:shd w:val="clear" w:color="auto" w:fill="FFFFFF"/>
        </w:rPr>
        <w:t xml:space="preserve">, </w:t>
      </w:r>
      <w:hyperlink r:id="rId8" w:history="1">
        <w:r w:rsidRPr="00787F1A">
          <w:rPr>
            <w:rStyle w:val="Hyperlink"/>
            <w:rFonts w:cs="Times New Roman"/>
            <w:color w:val="auto"/>
            <w:szCs w:val="24"/>
            <w:shd w:val="clear" w:color="auto" w:fill="FFFFFF"/>
          </w:rPr>
          <w:t>www.jstor.org/stable/3298049</w:t>
        </w:r>
      </w:hyperlink>
      <w:r w:rsidRPr="00787F1A">
        <w:rPr>
          <w:rFonts w:cs="Times New Roman"/>
          <w:szCs w:val="24"/>
          <w:shd w:val="clear" w:color="auto" w:fill="FFFFFF"/>
        </w:rPr>
        <w:t>.</w:t>
      </w:r>
      <w:proofErr w:type="gramEnd"/>
    </w:p>
    <w:p w:rsidR="00787F1A" w:rsidRPr="00787F1A" w:rsidRDefault="00787F1A" w:rsidP="00787F1A">
      <w:pPr>
        <w:ind w:left="720" w:hanging="720"/>
        <w:rPr>
          <w:rFonts w:cs="Times New Roman"/>
          <w:szCs w:val="24"/>
          <w:shd w:val="clear" w:color="auto" w:fill="FFFFFF"/>
        </w:rPr>
      </w:pPr>
      <w:r w:rsidRPr="00787F1A">
        <w:rPr>
          <w:rFonts w:cs="Times New Roman"/>
          <w:szCs w:val="24"/>
          <w:shd w:val="clear" w:color="auto" w:fill="FFFFFF"/>
        </w:rPr>
        <w:t>Wilson, John R. “Eris in Euripides.” </w:t>
      </w:r>
      <w:r w:rsidRPr="00787F1A">
        <w:rPr>
          <w:rFonts w:cs="Times New Roman"/>
          <w:i/>
          <w:iCs/>
          <w:szCs w:val="24"/>
          <w:shd w:val="clear" w:color="auto" w:fill="FFFFFF"/>
        </w:rPr>
        <w:t>Greece &amp; Rome</w:t>
      </w:r>
      <w:r w:rsidRPr="00787F1A">
        <w:rPr>
          <w:rFonts w:cs="Times New Roman"/>
          <w:szCs w:val="24"/>
          <w:shd w:val="clear" w:color="auto" w:fill="FFFFFF"/>
        </w:rPr>
        <w:t>, vol. 26, no. 1, 1979, pp. 7–20. </w:t>
      </w:r>
      <w:proofErr w:type="gramStart"/>
      <w:r w:rsidRPr="00787F1A">
        <w:rPr>
          <w:rFonts w:cs="Times New Roman"/>
          <w:i/>
          <w:iCs/>
          <w:szCs w:val="24"/>
          <w:shd w:val="clear" w:color="auto" w:fill="FFFFFF"/>
        </w:rPr>
        <w:t>JSTOR</w:t>
      </w:r>
      <w:r w:rsidRPr="00787F1A">
        <w:rPr>
          <w:rFonts w:cs="Times New Roman"/>
          <w:szCs w:val="24"/>
          <w:shd w:val="clear" w:color="auto" w:fill="FFFFFF"/>
        </w:rPr>
        <w:t xml:space="preserve">, </w:t>
      </w:r>
      <w:hyperlink r:id="rId9" w:history="1">
        <w:r w:rsidRPr="00787F1A">
          <w:rPr>
            <w:rStyle w:val="Hyperlink"/>
            <w:rFonts w:cs="Times New Roman"/>
            <w:color w:val="auto"/>
            <w:szCs w:val="24"/>
            <w:shd w:val="clear" w:color="auto" w:fill="FFFFFF"/>
          </w:rPr>
          <w:t>www.jstor.org/stable/642494</w:t>
        </w:r>
      </w:hyperlink>
      <w:r w:rsidRPr="00787F1A">
        <w:rPr>
          <w:rFonts w:cs="Times New Roman"/>
          <w:szCs w:val="24"/>
          <w:shd w:val="clear" w:color="auto" w:fill="FFFFFF"/>
        </w:rPr>
        <w:t>.</w:t>
      </w:r>
      <w:proofErr w:type="gramEnd"/>
    </w:p>
    <w:sectPr w:rsidR="00787F1A" w:rsidRPr="00787F1A" w:rsidSect="009245F0">
      <w:head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7AF" w:rsidRDefault="002F57AF" w:rsidP="00787F1A">
      <w:pPr>
        <w:spacing w:after="0" w:line="240" w:lineRule="auto"/>
      </w:pPr>
      <w:r>
        <w:separator/>
      </w:r>
    </w:p>
  </w:endnote>
  <w:endnote w:type="continuationSeparator" w:id="0">
    <w:p w:rsidR="002F57AF" w:rsidRDefault="002F57AF" w:rsidP="00787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7AF" w:rsidRDefault="002F57AF" w:rsidP="00787F1A">
      <w:pPr>
        <w:spacing w:after="0" w:line="240" w:lineRule="auto"/>
      </w:pPr>
      <w:r>
        <w:separator/>
      </w:r>
    </w:p>
  </w:footnote>
  <w:footnote w:type="continuationSeparator" w:id="0">
    <w:p w:rsidR="002F57AF" w:rsidRDefault="002F57AF" w:rsidP="00787F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F1A" w:rsidRDefault="00787F1A">
    <w:pPr>
      <w:pStyle w:val="Header"/>
      <w:jc w:val="right"/>
    </w:pPr>
    <w:r>
      <w:t xml:space="preserve">Last Name </w:t>
    </w:r>
    <w:sdt>
      <w:sdtPr>
        <w:id w:val="10599857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787F1A" w:rsidRDefault="00787F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6D7"/>
    <w:rsid w:val="00024F46"/>
    <w:rsid w:val="002F57AF"/>
    <w:rsid w:val="00513C96"/>
    <w:rsid w:val="006C2242"/>
    <w:rsid w:val="006E6D27"/>
    <w:rsid w:val="00787F1A"/>
    <w:rsid w:val="008D7FA4"/>
    <w:rsid w:val="008F3F6B"/>
    <w:rsid w:val="009245F0"/>
    <w:rsid w:val="00A13E0B"/>
    <w:rsid w:val="00A61A18"/>
    <w:rsid w:val="00CA719D"/>
    <w:rsid w:val="00D01D54"/>
    <w:rsid w:val="00D223B0"/>
    <w:rsid w:val="00D606D7"/>
    <w:rsid w:val="00E813D9"/>
    <w:rsid w:val="00FD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F1A"/>
  </w:style>
  <w:style w:type="paragraph" w:styleId="Footer">
    <w:name w:val="footer"/>
    <w:basedOn w:val="Normal"/>
    <w:link w:val="FooterChar"/>
    <w:uiPriority w:val="99"/>
    <w:unhideWhenUsed/>
    <w:rsid w:val="00787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F1A"/>
  </w:style>
  <w:style w:type="character" w:styleId="Hyperlink">
    <w:name w:val="Hyperlink"/>
    <w:basedOn w:val="DefaultParagraphFont"/>
    <w:uiPriority w:val="99"/>
    <w:unhideWhenUsed/>
    <w:rsid w:val="00787F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F1A"/>
  </w:style>
  <w:style w:type="paragraph" w:styleId="Footer">
    <w:name w:val="footer"/>
    <w:basedOn w:val="Normal"/>
    <w:link w:val="FooterChar"/>
    <w:uiPriority w:val="99"/>
    <w:unhideWhenUsed/>
    <w:rsid w:val="00787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F1A"/>
  </w:style>
  <w:style w:type="character" w:styleId="Hyperlink">
    <w:name w:val="Hyperlink"/>
    <w:basedOn w:val="DefaultParagraphFont"/>
    <w:uiPriority w:val="99"/>
    <w:unhideWhenUsed/>
    <w:rsid w:val="00787F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3298049" TargetMode="External"/><Relationship Id="rId3" Type="http://schemas.openxmlformats.org/officeDocument/2006/relationships/settings" Target="settings.xml"/><Relationship Id="rId7" Type="http://schemas.openxmlformats.org/officeDocument/2006/relationships/hyperlink" Target="http://www.jstor.org/stable/26782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jstor.org/stable/6424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6</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2019-04-11T08:59:00Z</dcterms:created>
  <dcterms:modified xsi:type="dcterms:W3CDTF">2019-04-11T12:54:00Z</dcterms:modified>
</cp:coreProperties>
</file>